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jc w:val="center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  <w:lang w:val="en-US" w:eastAsia="ja-JP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jc w:val="center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  <w:lang w:val="en-US" w:eastAsia="ja-JP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jc w:val="center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  <w:lang w:val="en-US" w:eastAsia="ja-JP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jc w:val="center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  <w:lang w:val="en-US" w:eastAsia="ja-JP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jc w:val="center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  <w:lang w:val="en-US" w:eastAsia="ja-JP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jc w:val="center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  <w:lang w:val="en-US" w:eastAsia="ja-JP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jc w:val="center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  <w:lang w:val="en-US" w:eastAsia="ja-JP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jc w:val="center"/>
        <w:rPr>
          <w:rFonts w:hint="default" w:asciiTheme="minorEastAsia" w:hAnsiTheme="minorEastAsia" w:eastAsiaTheme="minorEastAsia" w:cstheme="minorEastAsia"/>
          <w:i w:val="0"/>
          <w:color w:val="373500"/>
          <w:sz w:val="40"/>
          <w:szCs w:val="40"/>
          <w:u w:val="none"/>
          <w:vertAlign w:val="baseline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373500"/>
          <w:sz w:val="40"/>
          <w:szCs w:val="40"/>
          <w:u w:val="none"/>
          <w:vertAlign w:val="baseline"/>
          <w:lang w:val="en-US" w:eastAsia="ja-JP"/>
        </w:rPr>
        <w:t>防災マニュアル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373500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jc w:val="center"/>
        <w:rPr>
          <w:rFonts w:hint="eastAsia" w:asciiTheme="minorEastAsia" w:hAnsiTheme="minorEastAsia" w:eastAsiaTheme="minorEastAsia" w:cstheme="minorEastAsia"/>
          <w:i w:val="0"/>
          <w:color w:val="auto"/>
          <w:sz w:val="28"/>
          <w:szCs w:val="28"/>
          <w:u w:val="none"/>
          <w:vertAlign w:val="baseline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i w:val="0"/>
          <w:color w:val="auto"/>
          <w:sz w:val="28"/>
          <w:szCs w:val="28"/>
          <w:u w:val="none"/>
          <w:vertAlign w:val="baseline"/>
        </w:rPr>
        <w:t>防災の手引き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jc w:val="center"/>
        <w:rPr>
          <w:rFonts w:hint="eastAsia" w:asciiTheme="minorEastAsia" w:hAnsiTheme="minorEastAsia" w:eastAsiaTheme="minorEastAsia" w:cstheme="minorEastAsia"/>
          <w:i w:val="0"/>
          <w:color w:val="auto"/>
          <w:sz w:val="28"/>
          <w:szCs w:val="28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防災管理責任者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(氏名)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(連絡先)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【消防計画について】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10" w:lineRule="atLeas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</w:rPr>
              <w:t>通報連絡担当者</w:t>
            </w:r>
          </w:p>
        </w:tc>
        <w:tc>
          <w:tcPr>
            <w:tcW w:w="43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1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  <w:lang w:eastAsia="ja-JP"/>
              </w:rPr>
              <w:t>発見者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10" w:lineRule="atLeas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</w:rPr>
              <w:t>初期消火担当者</w:t>
            </w:r>
          </w:p>
        </w:tc>
        <w:tc>
          <w:tcPr>
            <w:tcW w:w="43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1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  <w:lang w:eastAsia="ja-JP"/>
              </w:rPr>
              <w:t>発見者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10" w:lineRule="atLeas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</w:rPr>
              <w:t>避難誘導担当者</w:t>
            </w:r>
          </w:p>
        </w:tc>
        <w:tc>
          <w:tcPr>
            <w:tcW w:w="43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1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  <w:lang w:eastAsia="ja-JP"/>
              </w:rPr>
              <w:t>○○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10" w:lineRule="atLeas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</w:rPr>
              <w:t>日常の自主検査の実施担当者</w:t>
            </w:r>
          </w:p>
        </w:tc>
        <w:tc>
          <w:tcPr>
            <w:tcW w:w="43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1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  <w:lang w:eastAsia="ja-JP"/>
              </w:rPr>
              <w:t>最終退社従業員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10" w:lineRule="atLeas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</w:rPr>
              <w:t>定期の自主検査の実施担当者</w:t>
            </w:r>
          </w:p>
        </w:tc>
        <w:tc>
          <w:tcPr>
            <w:tcW w:w="43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100" w:afterAutospacing="0" w:line="1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vertAlign w:val="baseline"/>
                <w:lang w:eastAsia="ja-JP"/>
              </w:rPr>
              <w:t>○○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【火気設備器具について】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①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火気設備器具の周辺は、整理清掃して可燃物を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近くにおかない。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②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火気設備器具は常に監視できる状態で使用し、その場を離れる時は必ず消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す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。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③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火気設備器具にある取扱い上の注意事項を守り、故障又は破損したままで使用しない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④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地震時には、火気設備器具の使用を中止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する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。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⑤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終業時には、火気設備器具の点検を行い、安全を確認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する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。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【喫煙について】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①事業所内は禁煙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。 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【避難施設の維持管理について】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①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避難口、廊下、階段、避難道路には避難障害となる設備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、物品を置かない。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②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防火戸の付近には、常に閉鎖の障害となる物品を置かな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い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。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【放火防止対策について】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①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建物の外周部及び敷地内には、ダンボール等の可燃物を放置しない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②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倉庫、更衣室などを使用しない時は、施錠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する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③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ゴミ類の廃棄可燃物は、定められた時間に指定場所に持って行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く。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④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事業所外の不審者に対しては、注意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を払う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。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【火災時対応】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①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 通報連絡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ind w:firstLine="48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・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119番通報(火災か救急かの種別、所在、目標、火災の内容など)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ind w:firstLine="48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・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val="en-US" w:eastAsia="ja-JP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防災管理責任者に連絡し、指示を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仰ぐ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。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②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 消火活動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ind w:firstLine="48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・ 消火器を使って、消火活動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③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val="en-US" w:eastAsia="ja-JP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避難誘導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ind w:firstLine="48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・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避難口(出入り口)を開放し、避難口まで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来訪者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、従業員を誘導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【地震時の対応】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bidi w:val="0"/>
        <w:spacing w:before="0" w:beforeAutospacing="0" w:after="100" w:afterAutospacing="0" w:line="10" w:lineRule="atLeast"/>
        <w:ind w:right="0" w:rightChars="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bidi w:val="0"/>
        <w:spacing w:before="0" w:beforeAutospacing="0" w:after="100" w:afterAutospacing="0" w:line="10" w:lineRule="atLeast"/>
        <w:ind w:right="0" w:rightChars="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①地震発生時の対応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bidi w:val="0"/>
        <w:spacing w:before="0" w:beforeAutospacing="0" w:after="100" w:afterAutospacing="0" w:line="10" w:lineRule="atLeast"/>
        <w:ind w:right="0" w:rightChars="0" w:firstLine="48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・蛍光灯、ガラス製品の近くから離れる。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bidi w:val="0"/>
        <w:spacing w:before="0" w:beforeAutospacing="0" w:after="100" w:afterAutospacing="0" w:line="10" w:lineRule="atLeast"/>
        <w:ind w:right="0" w:rightChars="0" w:firstLine="48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・室内では家具、冷蔵庫などから離れ、机やテーブルの下にもぐる。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bidi w:val="0"/>
        <w:spacing w:before="0" w:beforeAutospacing="0" w:after="100" w:afterAutospacing="0" w:line="10" w:lineRule="atLeast"/>
        <w:ind w:right="0" w:rightChars="0" w:firstLine="48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・屋外では塀やビルのそばから離れる。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ind w:firstLine="48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・火器設備器具の近くにいるものは直ぐに火を消す。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ind w:firstLine="48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・ドア、窓を開けて脱出口の確保をする。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②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val="en-US" w:eastAsia="ja-JP"/>
        </w:rPr>
        <w:t xml:space="preserve"> 揺れがおさまってからの対応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ind w:firstLine="48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val="en-US" w:eastAsia="ja-JP"/>
        </w:rPr>
        <w:t>・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行方不明者やけが人がいないか確認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ind w:firstLine="48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・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漏電・ガス漏れに注意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ind w:firstLine="48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・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火災が発生した時は大声で知らせる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ind w:firstLine="48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・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電話は、消防車や救急車を呼ぶ時など、緊急連絡を優先する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ind w:firstLine="48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val="en-US" w:eastAsia="ja-JP"/>
        </w:rPr>
        <w:t>・外に出る時は慌てず。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塀、自販機、川などには近づかない 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③避難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　　・避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難する時は徒歩、持ち物は最小限に抑える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　　・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避難する時、外出中の従業員がいたらメモを残す事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　　・ラジオ等で情報収集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ind w:firstLine="48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・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近隣で助け合いをする:高齢者、障害者、子供の安全確保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ind w:firstLine="48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④その後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ind w:firstLine="48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・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水、食料は蓄えているもので賄う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ind w:firstLine="480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・約3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～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5日間分の食料と生活必需品の備蓄をしておく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　　・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 xml:space="preserve">災害情報・被害情報の収集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  <w:lang w:eastAsia="ja-JP"/>
        </w:rPr>
        <w:t>　　・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vertAlign w:val="baseline"/>
        </w:rPr>
        <w:t>余震に注意をする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  <w:t>【風水害時の対応】</w:t>
      </w:r>
    </w:p>
    <w:p>
      <w:pP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</w:p>
    <w:p>
      <w:pP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  <w:t>①気象情報の収集</w:t>
      </w:r>
    </w:p>
    <w:p>
      <w:pPr>
        <w:ind w:firstLine="480"/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  <w:t>・ラジオ、テレビなどで気象情報を正確に収集。（市や消防署などによる</w:t>
      </w:r>
    </w:p>
    <w:p>
      <w:pPr>
        <w:ind w:firstLine="480"/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  <w:t>　災害情報）</w:t>
      </w:r>
    </w:p>
    <w:p>
      <w:pP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</w:p>
    <w:p>
      <w:pP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  <w:t>②屋外の点検</w:t>
      </w:r>
    </w:p>
    <w:p>
      <w:pPr>
        <w:ind w:firstLine="480"/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  <w:t>・窓、雨戸、窓ガラスなどを必要に応じて補強する。</w:t>
      </w:r>
    </w:p>
    <w:p>
      <w:pPr>
        <w:ind w:firstLine="480"/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  <w:t>・ベランダにある飛ばされやすいものは屋内に取り入れる。</w:t>
      </w:r>
    </w:p>
    <w:p>
      <w:pPr>
        <w:ind w:firstLine="480"/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  <w:t>・床上浸水の恐れがある場合は家財道具を移動する。</w:t>
      </w:r>
    </w:p>
    <w:p>
      <w:pPr>
        <w:ind w:firstLine="480"/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</w:p>
    <w:p>
      <w:pP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  <w:t>③屋内の点検</w:t>
      </w:r>
    </w:p>
    <w:p>
      <w:pPr>
        <w:ind w:firstLine="480"/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  <w:t>・停電に備える。（懐中電灯、携帯ラジオなど）</w:t>
      </w:r>
    </w:p>
    <w:p>
      <w:pPr>
        <w:ind w:firstLine="480"/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  <w:t>・気象情報の経過を逐一確認する。</w:t>
      </w:r>
    </w:p>
    <w:p>
      <w:pPr>
        <w:ind w:firstLine="480"/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  <w:t>・断水に備える。（飲料水の確保）</w:t>
      </w:r>
    </w:p>
    <w:p>
      <w:pPr>
        <w:ind w:firstLine="480"/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  <w:t>・高齢者、障害者、子供を安全な場所に移動させる。</w:t>
      </w:r>
    </w:p>
    <w:p>
      <w:pP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</w:p>
    <w:p>
      <w:pP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  <w:t>④避難</w:t>
      </w:r>
    </w:p>
    <w:p>
      <w:pPr>
        <w:ind w:firstLine="480"/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  <w:t>・火の始末、戸締りを行う。</w:t>
      </w:r>
    </w:p>
    <w:p>
      <w:pPr>
        <w:ind w:firstLine="480"/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  <w:t>・従業員全員で避難する。</w:t>
      </w:r>
    </w:p>
    <w:p>
      <w:pP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</w:p>
    <w:p>
      <w:pPr>
        <w:rPr>
          <w:rFonts w:hint="eastAsia" w:asciiTheme="minorEastAsia" w:hAnsiTheme="minorEastAsia" w:cstheme="minorEastAsia"/>
          <w:color w:val="auto"/>
          <w:sz w:val="24"/>
          <w:szCs w:val="24"/>
          <w:lang w:eastAsia="ja-JP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100" w:afterAutospacing="0" w:line="10" w:lineRule="atLeas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1"/>
          <w:szCs w:val="21"/>
          <w:u w:val="none"/>
          <w:vertAlign w:val="baseline"/>
        </w:rPr>
        <w:t>附則 このマニュアルは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1"/>
          <w:szCs w:val="21"/>
          <w:u w:val="none"/>
          <w:vertAlign w:val="baseline"/>
          <w:lang w:eastAsia="ja-JP"/>
        </w:rPr>
        <w:t>令和〇〇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1"/>
          <w:szCs w:val="21"/>
          <w:u w:val="none"/>
          <w:vertAlign w:val="baseline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1"/>
          <w:szCs w:val="21"/>
          <w:u w:val="none"/>
          <w:vertAlign w:val="baseline"/>
          <w:lang w:eastAsia="ja-JP"/>
        </w:rPr>
        <w:t>○○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1"/>
          <w:szCs w:val="21"/>
          <w:u w:val="none"/>
          <w:vertAlign w:val="baseline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1"/>
          <w:szCs w:val="21"/>
          <w:u w:val="none"/>
          <w:vertAlign w:val="baseline"/>
          <w:lang w:eastAsia="ja-JP"/>
        </w:rPr>
        <w:t>○○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1"/>
          <w:szCs w:val="21"/>
          <w:u w:val="none"/>
          <w:vertAlign w:val="baseline"/>
        </w:rPr>
        <w:t>日より施行</w:t>
      </w:r>
    </w:p>
    <w:bookmarkEnd w:id="0"/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4446B"/>
    <w:rsid w:val="0C762C1E"/>
    <w:rsid w:val="0E85697D"/>
    <w:rsid w:val="11B636F8"/>
    <w:rsid w:val="28D67762"/>
    <w:rsid w:val="4BBC4B16"/>
    <w:rsid w:val="53505751"/>
    <w:rsid w:val="5454446B"/>
    <w:rsid w:val="5E1D5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2021-10-17T11:26:00Z</dcterms:created>
  <dc:creator>USER</dc:creator>
  <cp:lastModifiedBy>USER</cp:lastModifiedBy>
  <dcterms:modified xsi:type="dcterms:W3CDTF">2021-11-15T05:59:36Z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